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1C" w:rsidRDefault="00335D21" w:rsidP="00B72434">
      <w:pPr>
        <w:pStyle w:val="a3"/>
        <w:overflowPunct w:val="0"/>
        <w:spacing w:before="0" w:beforeAutospacing="0" w:after="0" w:afterAutospacing="0"/>
        <w:jc w:val="center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ПАО «Россети-Юг»-«Волгоградэнерго»</w:t>
      </w:r>
    </w:p>
    <w:p w:rsidR="00335D21" w:rsidRDefault="00335D21" w:rsidP="00B72434">
      <w:pPr>
        <w:pStyle w:val="a3"/>
        <w:overflowPunct w:val="0"/>
        <w:spacing w:before="0" w:beforeAutospacing="0" w:after="0" w:afterAutospacing="0"/>
        <w:jc w:val="center"/>
        <w:rPr>
          <w:rFonts w:eastAsiaTheme="majorEastAsia"/>
          <w:b/>
          <w:bCs/>
          <w:color w:val="000000"/>
          <w:sz w:val="28"/>
          <w:szCs w:val="28"/>
        </w:rPr>
      </w:pP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b/>
          <w:bCs/>
          <w:color w:val="000000"/>
          <w:sz w:val="28"/>
          <w:szCs w:val="28"/>
        </w:rPr>
        <w:t xml:space="preserve">ПАО «Россети Юг» </w:t>
      </w:r>
      <w:r w:rsidRPr="00E565AE">
        <w:rPr>
          <w:rFonts w:eastAsiaTheme="majorEastAsia"/>
          <w:color w:val="000000"/>
          <w:sz w:val="28"/>
          <w:szCs w:val="28"/>
        </w:rPr>
        <w:t xml:space="preserve">отвечает за транспорт электрической энергии по сетям 110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и ниже на территории четырех субъектов Российской Федерации: Ростовской, Астраханской и Волгоградской областей, Республики Калмыкия.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Россети Юг обслуживает территорию общей площадью более 334 тысяч квадратных километров с численностью населения порядка 8,5 миллионов человек. 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b/>
          <w:bCs/>
          <w:color w:val="000000"/>
          <w:sz w:val="28"/>
          <w:szCs w:val="28"/>
        </w:rPr>
        <w:t>Филиал ПАО «Россети Юг» - «Волгоградэнерго»</w:t>
      </w:r>
      <w:r w:rsidRPr="00E565AE">
        <w:rPr>
          <w:rFonts w:eastAsiaTheme="majorEastAsia"/>
          <w:color w:val="000000"/>
          <w:sz w:val="28"/>
          <w:szCs w:val="28"/>
        </w:rPr>
        <w:t xml:space="preserve"> – крупнейшая распределительная электросетевая компания Волгоградской области. 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>Основные виды деятельности компании - транспортировка электроэнергии, подключение потребителей электроэнергии к распределительным сетям филиала, эффективное управление распределительным сетевым комплексом энергетических систем Волгоградской области, обеспечивающее надежное функционирование и развитие электросетевого хозяйства. Промышленный сектор, пользующийся услугами волгоградских энергетиков, включает в себя предприятия по переработке нефти и газа, химические, металлургические, а также машиностроительные заводы. Услугами «Волгоградэнерго» пользуются население и сельское хозяйство, которые составляют значительную часть потребления. Количество точек учета в сетях филиала ПАО «Россети Юг» - «Волгоградэнерго» – </w:t>
      </w:r>
      <w:r w:rsidRPr="00E565AE">
        <w:rPr>
          <w:rFonts w:eastAsiaTheme="majorEastAsia"/>
          <w:b/>
          <w:bCs/>
          <w:color w:val="000000"/>
          <w:sz w:val="28"/>
          <w:szCs w:val="28"/>
        </w:rPr>
        <w:t>304 060 шт.</w:t>
      </w:r>
      <w:r w:rsidRPr="00E565AE">
        <w:rPr>
          <w:rFonts w:eastAsiaTheme="majorEastAsia"/>
          <w:color w:val="000000"/>
          <w:sz w:val="28"/>
          <w:szCs w:val="28"/>
        </w:rPr>
        <w:t>  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 настоящее время филиал ПАО «Россети Юг» - «Волгоградэнерго» включает в себя </w:t>
      </w:r>
      <w:r w:rsidRPr="00E565AE">
        <w:rPr>
          <w:rFonts w:eastAsiaTheme="majorEastAsia"/>
          <w:b/>
          <w:bCs/>
          <w:color w:val="000000"/>
          <w:sz w:val="28"/>
          <w:szCs w:val="28"/>
        </w:rPr>
        <w:t>6 производственных отделений и 35 районов электрических сетей</w:t>
      </w:r>
      <w:r w:rsidRPr="00E565AE">
        <w:rPr>
          <w:rFonts w:eastAsiaTheme="majorEastAsia"/>
          <w:color w:val="000000"/>
          <w:sz w:val="28"/>
          <w:szCs w:val="28"/>
        </w:rPr>
        <w:t xml:space="preserve">. 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Общая протяженность воздушных линий электропередачи 0,38-220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, принадлежащих филиалу, по г. Волгограду и Волгоградской области по трассе составляет </w:t>
      </w:r>
      <w:r w:rsidRPr="00E565AE">
        <w:rPr>
          <w:rFonts w:eastAsiaTheme="majorEastAsia"/>
          <w:b/>
          <w:bCs/>
          <w:color w:val="000000"/>
          <w:sz w:val="28"/>
          <w:szCs w:val="28"/>
        </w:rPr>
        <w:t>44 624 км и 433,1 км</w:t>
      </w:r>
      <w:r w:rsidRPr="00E565AE">
        <w:rPr>
          <w:rFonts w:eastAsiaTheme="majorEastAsia"/>
          <w:color w:val="000000"/>
          <w:sz w:val="28"/>
          <w:szCs w:val="28"/>
        </w:rPr>
        <w:t xml:space="preserve"> кабельных сетей.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b/>
          <w:bCs/>
          <w:color w:val="000000"/>
          <w:sz w:val="28"/>
          <w:szCs w:val="28"/>
        </w:rPr>
        <w:t>Воздушные линии состоят из: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ВЛ 220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- 141 км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ВЛ 110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– 5 919,2 км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ВЛ 35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– 2 782,8 км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ВЛ 0,4-10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– 35 781 км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b/>
          <w:bCs/>
          <w:color w:val="000000"/>
          <w:sz w:val="28"/>
          <w:szCs w:val="28"/>
        </w:rPr>
        <w:t>Количество понизительных подстанций составляет:  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ПС 220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- 2 шт.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ПС 110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- 259 шт.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ПС 35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- 134 шт.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  <w:r w:rsidRPr="00E565AE">
        <w:rPr>
          <w:rFonts w:eastAsiaTheme="majorEastAsia"/>
          <w:b/>
          <w:bCs/>
          <w:color w:val="000000"/>
          <w:sz w:val="28"/>
          <w:szCs w:val="28"/>
        </w:rPr>
        <w:t xml:space="preserve">Общая установленная мощность подстанций 35-220 </w:t>
      </w:r>
      <w:proofErr w:type="spellStart"/>
      <w:proofErr w:type="gramStart"/>
      <w:r w:rsidRPr="00E565AE">
        <w:rPr>
          <w:rFonts w:eastAsiaTheme="majorEastAsia"/>
          <w:b/>
          <w:bCs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b/>
          <w:bCs/>
          <w:color w:val="000000"/>
          <w:sz w:val="28"/>
          <w:szCs w:val="28"/>
        </w:rPr>
        <w:t xml:space="preserve">  составляет</w:t>
      </w:r>
      <w:proofErr w:type="gramEnd"/>
      <w:r w:rsidRPr="00E565AE">
        <w:rPr>
          <w:rFonts w:eastAsiaTheme="majorEastAsia"/>
          <w:b/>
          <w:bCs/>
          <w:color w:val="000000"/>
          <w:sz w:val="28"/>
          <w:szCs w:val="28"/>
        </w:rPr>
        <w:t xml:space="preserve">  </w:t>
      </w:r>
      <w:r w:rsidRPr="00E565AE">
        <w:rPr>
          <w:rFonts w:eastAsiaTheme="majorEastAsia"/>
          <w:color w:val="000000"/>
          <w:sz w:val="28"/>
          <w:szCs w:val="28"/>
        </w:rPr>
        <w:t>6 527,78 МВА.  </w:t>
      </w: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 w:rsidRPr="00E565AE">
        <w:rPr>
          <w:rFonts w:eastAsiaTheme="majorEastAsia"/>
          <w:color w:val="000000"/>
          <w:sz w:val="28"/>
          <w:szCs w:val="28"/>
        </w:rPr>
        <w:t xml:space="preserve">В системе насчитывается 9950 трансформаторных подстанций 6-10/0,4 </w:t>
      </w:r>
      <w:proofErr w:type="spellStart"/>
      <w:r w:rsidRPr="00E565AE">
        <w:rPr>
          <w:rFonts w:eastAsiaTheme="majorEastAsia"/>
          <w:color w:val="000000"/>
          <w:sz w:val="28"/>
          <w:szCs w:val="28"/>
        </w:rPr>
        <w:t>кВ</w:t>
      </w:r>
      <w:proofErr w:type="spellEnd"/>
      <w:r w:rsidRPr="00E565AE">
        <w:rPr>
          <w:rFonts w:eastAsiaTheme="majorEastAsia"/>
          <w:color w:val="000000"/>
          <w:sz w:val="28"/>
          <w:szCs w:val="28"/>
        </w:rPr>
        <w:t xml:space="preserve"> общей мощностью 1853 МВА</w:t>
      </w:r>
    </w:p>
    <w:p w:rsidR="00B72434" w:rsidRPr="00B72434" w:rsidRDefault="00B6493B" w:rsidP="00B6493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олгоградский филиал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«Россети Юг» </w:t>
      </w:r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- стартовая площадка для многих пилотных проектов</w:t>
      </w:r>
      <w:r w:rsidR="00B72434" w:rsidRPr="00B724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Именно здесь была разработана и введена в эксплуатацию система </w:t>
      </w:r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мониторинга интенсивности гололедообразования (МИГ), благодаря которой работоспособность </w:t>
      </w:r>
      <w:proofErr w:type="spellStart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сохраняется в сложных погодных условиях. Также на</w:t>
      </w:r>
      <w:r w:rsidR="00B72434" w:rsidRPr="00B724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B72434" w:rsidRPr="00B724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энергообъектах</w:t>
      </w:r>
      <w:proofErr w:type="spellEnd"/>
      <w:r w:rsidR="00B72434" w:rsidRPr="00B724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филиала произведена комплексная автоматизация воздушных линий инновационным </w:t>
      </w:r>
      <w:r w:rsidR="00B72434" w:rsidRPr="00B7243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оборудованием, позволяющим </w:t>
      </w:r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стабилизировать напряжение в сети. Полным ходом идет оснащение сетей интеллектуальными приборами учета. В планах текущего года – строительство ПС 110 </w:t>
      </w:r>
      <w:proofErr w:type="spellStart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spellEnd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Слюсарево</w:t>
      </w:r>
      <w:proofErr w:type="spellEnd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для обеспечения технологического присоединения объектов </w:t>
      </w:r>
      <w:proofErr w:type="spellStart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ветрогенерации</w:t>
      </w:r>
      <w:proofErr w:type="spellEnd"/>
      <w:r w:rsidR="00B72434" w:rsidRPr="00B724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2434" w:rsidRDefault="00B72434" w:rsidP="008B07B6">
      <w:pPr>
        <w:pStyle w:val="a3"/>
        <w:overflowPunct w:val="0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</w:p>
    <w:p w:rsidR="00B72434" w:rsidRDefault="00B72434" w:rsidP="008B07B6">
      <w:pPr>
        <w:pStyle w:val="a3"/>
        <w:overflowPunct w:val="0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B07B6" w:rsidRPr="00E565AE" w:rsidRDefault="008B07B6" w:rsidP="008B07B6">
      <w:pPr>
        <w:pStyle w:val="a3"/>
        <w:overflowPunct w:val="0"/>
        <w:spacing w:before="0" w:beforeAutospacing="0" w:after="0" w:afterAutospacing="0"/>
        <w:rPr>
          <w:sz w:val="28"/>
          <w:szCs w:val="28"/>
        </w:rPr>
      </w:pPr>
    </w:p>
    <w:p w:rsidR="00A60697" w:rsidRPr="00E565AE" w:rsidRDefault="00A60697">
      <w:pPr>
        <w:rPr>
          <w:rFonts w:ascii="Times New Roman" w:hAnsi="Times New Roman" w:cs="Times New Roman"/>
          <w:sz w:val="28"/>
          <w:szCs w:val="28"/>
        </w:rPr>
      </w:pPr>
    </w:p>
    <w:sectPr w:rsidR="00A60697" w:rsidRPr="00E5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6"/>
    <w:rsid w:val="00335D21"/>
    <w:rsid w:val="00657D1C"/>
    <w:rsid w:val="008B07B6"/>
    <w:rsid w:val="00A60697"/>
    <w:rsid w:val="00B6493B"/>
    <w:rsid w:val="00B72434"/>
    <w:rsid w:val="00E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91F"/>
  <w15:chartTrackingRefBased/>
  <w15:docId w15:val="{B3502FDE-0FEB-4C7A-8F23-43F773D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Фиалко Жанна Дмитриевна</dc:creator>
  <cp:keywords/>
  <dc:description/>
  <cp:lastModifiedBy>Фиалко Жанна Дмитриевна</cp:lastModifiedBy>
  <cp:revision>5</cp:revision>
  <cp:lastPrinted>2021-05-20T11:43:00Z</cp:lastPrinted>
  <dcterms:created xsi:type="dcterms:W3CDTF">2021-05-20T11:29:00Z</dcterms:created>
  <dcterms:modified xsi:type="dcterms:W3CDTF">2021-05-20T13:39:00Z</dcterms:modified>
</cp:coreProperties>
</file>